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6D38A3">
        <w:rPr>
          <w:rFonts w:ascii="Calibri Light" w:hAnsi="Calibri Light" w:cs="Calibri Light"/>
        </w:rPr>
        <w:t>Predrag</w:t>
      </w:r>
      <w:proofErr w:type="spellEnd"/>
      <w:r w:rsidR="006D38A3">
        <w:rPr>
          <w:rFonts w:ascii="Calibri Light" w:hAnsi="Calibri Light" w:cs="Calibri Light"/>
        </w:rPr>
        <w:t xml:space="preserve"> </w:t>
      </w:r>
      <w:proofErr w:type="spellStart"/>
      <w:r w:rsidR="006D38A3">
        <w:rPr>
          <w:rFonts w:ascii="Calibri Light" w:hAnsi="Calibri Light" w:cs="Calibri Light"/>
        </w:rPr>
        <w:t>Stanojević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6D38A3">
        <w:rPr>
          <w:rFonts w:asciiTheme="majorHAnsi" w:hAnsiTheme="majorHAnsi" w:cstheme="majorHAnsi"/>
        </w:rPr>
        <w:t>stanojevicpredrag</w:t>
      </w:r>
      <w:r w:rsidR="00EA47E2" w:rsidRPr="006B16D0">
        <w:rPr>
          <w:rFonts w:asciiTheme="majorHAnsi" w:hAnsiTheme="majorHAnsi" w:cstheme="majorHAnsi"/>
        </w:rPr>
        <w:t>@yahoo.com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DB1300" w:rsidRPr="006B16D0">
        <w:rPr>
          <w:rFonts w:asciiTheme="majorHAnsi" w:hAnsiTheme="majorHAnsi" w:cstheme="majorHAnsi"/>
        </w:rPr>
        <w:t xml:space="preserve">Technical College of Applied Sciences </w:t>
      </w:r>
      <w:proofErr w:type="spellStart"/>
      <w:r w:rsidR="00DB1300" w:rsidRPr="006B16D0">
        <w:rPr>
          <w:rFonts w:asciiTheme="majorHAnsi" w:hAnsiTheme="majorHAnsi" w:cstheme="majorHAnsi"/>
        </w:rPr>
        <w:t>Urosevac</w:t>
      </w:r>
      <w:proofErr w:type="spellEnd"/>
      <w:r w:rsidR="00DB1300" w:rsidRPr="006B16D0">
        <w:rPr>
          <w:rFonts w:asciiTheme="majorHAnsi" w:hAnsiTheme="majorHAnsi" w:cstheme="majorHAnsi"/>
        </w:rPr>
        <w:t xml:space="preserve"> with temporary seat in </w:t>
      </w:r>
      <w:proofErr w:type="spellStart"/>
      <w:r w:rsidR="00DB1300" w:rsidRPr="006B16D0">
        <w:rPr>
          <w:rFonts w:asciiTheme="majorHAnsi" w:hAnsiTheme="majorHAnsi" w:cstheme="majorHAnsi"/>
        </w:rPr>
        <w:t>Leposavic</w:t>
      </w:r>
      <w:proofErr w:type="spellEnd"/>
    </w:p>
    <w:tbl>
      <w:tblPr>
        <w:tblStyle w:val="TableGrid"/>
        <w:tblW w:w="10916" w:type="dxa"/>
        <w:tblInd w:w="-743" w:type="dxa"/>
        <w:tblLook w:val="04A0"/>
      </w:tblPr>
      <w:tblGrid>
        <w:gridCol w:w="3545"/>
        <w:gridCol w:w="7371"/>
      </w:tblGrid>
      <w:tr w:rsidR="006D38A3" w:rsidTr="00E610A9">
        <w:tc>
          <w:tcPr>
            <w:tcW w:w="3545" w:type="dxa"/>
          </w:tcPr>
          <w:p w:rsidR="006D38A3" w:rsidRPr="006B16D0" w:rsidRDefault="006D38A3" w:rsidP="00A21416">
            <w:pPr>
              <w:spacing w:before="120" w:after="120"/>
              <w:ind w:right="902"/>
              <w:rPr>
                <w:rFonts w:asciiTheme="majorHAnsi" w:hAnsiTheme="majorHAnsi" w:cstheme="majorHAnsi"/>
              </w:rPr>
            </w:pPr>
          </w:p>
          <w:p w:rsidR="006D38A3" w:rsidRPr="006B16D0" w:rsidRDefault="006D38A3" w:rsidP="00A21416">
            <w:pPr>
              <w:spacing w:before="120" w:after="120"/>
              <w:ind w:right="902"/>
              <w:rPr>
                <w:rFonts w:asciiTheme="majorHAnsi" w:hAnsiTheme="majorHAnsi" w:cstheme="majorHAnsi"/>
              </w:rPr>
            </w:pPr>
            <w:r w:rsidRPr="006B16D0">
              <w:rPr>
                <w:rFonts w:asciiTheme="majorHAnsi" w:hAnsiTheme="majorHAnsi" w:cstheme="majorHAnsi"/>
                <w:noProof/>
              </w:rPr>
              <w:drawing>
                <wp:anchor distT="0" distB="0" distL="114300" distR="114300" simplePos="0" relativeHeight="251667456" behindDoc="1" locked="0" layoutInCell="1" allowOverlap="1">
                  <wp:simplePos x="0" y="0"/>
                  <wp:positionH relativeFrom="column">
                    <wp:posOffset>16510</wp:posOffset>
                  </wp:positionH>
                  <wp:positionV relativeFrom="paragraph">
                    <wp:posOffset>73660</wp:posOffset>
                  </wp:positionV>
                  <wp:extent cx="1225550" cy="1250950"/>
                  <wp:effectExtent l="19050" t="0" r="0" b="0"/>
                  <wp:wrapNone/>
                  <wp:docPr id="40" name="Picture 1" descr="C:\Users\ZILE\Downloads\pred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E\Downloads\predsta.jpg"/>
                          <pic:cNvPicPr>
                            <a:picLocks noChangeAspect="1" noChangeArrowheads="1"/>
                          </pic:cNvPicPr>
                        </pic:nvPicPr>
                        <pic:blipFill>
                          <a:blip r:embed="rId7" cstate="print"/>
                          <a:srcRect l="12717" t="15029" r="10405" b="6936"/>
                          <a:stretch>
                            <a:fillRect/>
                          </a:stretch>
                        </pic:blipFill>
                        <pic:spPr bwMode="auto">
                          <a:xfrm>
                            <a:off x="0" y="0"/>
                            <a:ext cx="1225550" cy="1250950"/>
                          </a:xfrm>
                          <a:prstGeom prst="rect">
                            <a:avLst/>
                          </a:prstGeom>
                          <a:noFill/>
                          <a:ln w="9525">
                            <a:noFill/>
                            <a:miter lim="800000"/>
                            <a:headEnd/>
                            <a:tailEnd/>
                          </a:ln>
                        </pic:spPr>
                      </pic:pic>
                    </a:graphicData>
                  </a:graphic>
                </wp:anchor>
              </w:drawing>
            </w:r>
          </w:p>
        </w:tc>
        <w:tc>
          <w:tcPr>
            <w:tcW w:w="7371" w:type="dxa"/>
          </w:tcPr>
          <w:p w:rsidR="006D38A3" w:rsidRPr="006B16D0" w:rsidRDefault="006D38A3" w:rsidP="006D38A3">
            <w:pPr>
              <w:tabs>
                <w:tab w:val="left" w:pos="3649"/>
                <w:tab w:val="left" w:pos="5349"/>
                <w:tab w:val="left" w:pos="7992"/>
                <w:tab w:val="left" w:pos="9409"/>
                <w:tab w:val="left" w:pos="10778"/>
              </w:tabs>
              <w:jc w:val="both"/>
              <w:rPr>
                <w:rFonts w:asciiTheme="majorHAnsi" w:hAnsiTheme="majorHAnsi" w:cstheme="majorHAnsi"/>
              </w:rPr>
            </w:pPr>
            <w:r w:rsidRPr="006B16D0">
              <w:rPr>
                <w:rFonts w:asciiTheme="majorHAnsi" w:hAnsiTheme="majorHAnsi" w:cstheme="majorHAnsi"/>
                <w:b/>
              </w:rPr>
              <w:t>Education</w:t>
            </w:r>
            <w:r w:rsidRPr="006B16D0">
              <w:rPr>
                <w:rFonts w:asciiTheme="majorHAnsi" w:hAnsiTheme="majorHAnsi" w:cstheme="majorHAnsi"/>
              </w:rPr>
              <w:t>: MA in Traffic Engineering, PhD in Traffic Engineering.</w:t>
            </w:r>
          </w:p>
          <w:p w:rsidR="006D38A3" w:rsidRPr="006B16D0" w:rsidRDefault="006D38A3" w:rsidP="006D38A3">
            <w:pPr>
              <w:tabs>
                <w:tab w:val="left" w:pos="3649"/>
                <w:tab w:val="left" w:pos="5349"/>
                <w:tab w:val="left" w:pos="7992"/>
                <w:tab w:val="left" w:pos="9409"/>
                <w:tab w:val="left" w:pos="10778"/>
              </w:tabs>
              <w:jc w:val="both"/>
              <w:rPr>
                <w:rFonts w:asciiTheme="majorHAnsi" w:hAnsiTheme="majorHAnsi" w:cstheme="majorHAnsi"/>
              </w:rPr>
            </w:pPr>
            <w:r w:rsidRPr="006B16D0">
              <w:rPr>
                <w:rFonts w:asciiTheme="majorHAnsi" w:hAnsiTheme="majorHAnsi" w:cstheme="majorHAnsi"/>
                <w:b/>
              </w:rPr>
              <w:t>Positions</w:t>
            </w:r>
            <w:r w:rsidRPr="006B16D0">
              <w:rPr>
                <w:rFonts w:asciiTheme="majorHAnsi" w:hAnsiTheme="majorHAnsi" w:cstheme="majorHAnsi"/>
              </w:rPr>
              <w:t xml:space="preserve">: Professor; Director of Technical College of Applied Sciences </w:t>
            </w:r>
            <w:proofErr w:type="spellStart"/>
            <w:r w:rsidRPr="006B16D0">
              <w:rPr>
                <w:rFonts w:asciiTheme="majorHAnsi" w:hAnsiTheme="majorHAnsi" w:cstheme="majorHAnsi"/>
              </w:rPr>
              <w:t>Urosevac</w:t>
            </w:r>
            <w:proofErr w:type="spellEnd"/>
            <w:r w:rsidRPr="006B16D0">
              <w:rPr>
                <w:rFonts w:asciiTheme="majorHAnsi" w:hAnsiTheme="majorHAnsi" w:cstheme="majorHAnsi"/>
              </w:rPr>
              <w:t xml:space="preserve"> with temporary seat in </w:t>
            </w:r>
            <w:proofErr w:type="spellStart"/>
            <w:r w:rsidRPr="006B16D0">
              <w:rPr>
                <w:rFonts w:asciiTheme="majorHAnsi" w:hAnsiTheme="majorHAnsi" w:cstheme="majorHAnsi"/>
              </w:rPr>
              <w:t>Leposavic</w:t>
            </w:r>
            <w:proofErr w:type="spellEnd"/>
            <w:r w:rsidRPr="006B16D0">
              <w:rPr>
                <w:rFonts w:asciiTheme="majorHAnsi" w:hAnsiTheme="majorHAnsi" w:cstheme="majorHAnsi"/>
              </w:rPr>
              <w:t>.</w:t>
            </w:r>
          </w:p>
          <w:p w:rsidR="006D38A3" w:rsidRPr="006B16D0" w:rsidRDefault="006D38A3" w:rsidP="006D38A3">
            <w:pPr>
              <w:tabs>
                <w:tab w:val="left" w:pos="3649"/>
                <w:tab w:val="left" w:pos="5349"/>
                <w:tab w:val="left" w:pos="7992"/>
                <w:tab w:val="left" w:pos="9409"/>
                <w:tab w:val="left" w:pos="10778"/>
              </w:tabs>
              <w:jc w:val="both"/>
              <w:rPr>
                <w:rFonts w:asciiTheme="majorHAnsi" w:hAnsiTheme="majorHAnsi" w:cstheme="majorHAnsi"/>
              </w:rPr>
            </w:pPr>
            <w:r w:rsidRPr="006B16D0">
              <w:rPr>
                <w:rFonts w:asciiTheme="majorHAnsi" w:hAnsiTheme="majorHAnsi" w:cstheme="majorHAnsi"/>
                <w:b/>
              </w:rPr>
              <w:t>Organizational skills</w:t>
            </w:r>
            <w:r w:rsidRPr="006B16D0">
              <w:rPr>
                <w:rFonts w:asciiTheme="majorHAnsi" w:hAnsiTheme="majorHAnsi" w:cstheme="majorHAnsi"/>
              </w:rPr>
              <w:t xml:space="preserve">: from 2006 he was a part of all Teams in charged for accreditation of the Institution, first degree studies and specialist study programs. From 2012 to 2014 he served as a Head of the study programs of first degree studies, and 2014 he was appointed as Director of Technical College of Applied Sciences </w:t>
            </w:r>
            <w:proofErr w:type="spellStart"/>
            <w:r w:rsidRPr="006B16D0">
              <w:rPr>
                <w:rFonts w:asciiTheme="majorHAnsi" w:hAnsiTheme="majorHAnsi" w:cstheme="majorHAnsi"/>
              </w:rPr>
              <w:t>Urosevac</w:t>
            </w:r>
            <w:proofErr w:type="spellEnd"/>
            <w:r w:rsidRPr="006B16D0">
              <w:rPr>
                <w:rFonts w:asciiTheme="majorHAnsi" w:hAnsiTheme="majorHAnsi" w:cstheme="majorHAnsi"/>
              </w:rPr>
              <w:t xml:space="preserve"> with temporary seat in </w:t>
            </w:r>
            <w:proofErr w:type="spellStart"/>
            <w:r w:rsidRPr="006B16D0">
              <w:rPr>
                <w:rFonts w:asciiTheme="majorHAnsi" w:hAnsiTheme="majorHAnsi" w:cstheme="majorHAnsi"/>
              </w:rPr>
              <w:t>Leposavic</w:t>
            </w:r>
            <w:proofErr w:type="spellEnd"/>
            <w:r w:rsidRPr="006B16D0">
              <w:rPr>
                <w:rFonts w:asciiTheme="majorHAnsi" w:hAnsiTheme="majorHAnsi" w:cstheme="majorHAnsi"/>
              </w:rPr>
              <w:t>.</w:t>
            </w:r>
          </w:p>
          <w:p w:rsidR="006D38A3" w:rsidRPr="009A0B09" w:rsidRDefault="006D38A3" w:rsidP="006D38A3">
            <w:pPr>
              <w:jc w:val="both"/>
              <w:rPr>
                <w:rFonts w:asciiTheme="majorHAnsi" w:hAnsiTheme="majorHAnsi" w:cstheme="majorHAnsi"/>
              </w:rPr>
            </w:pPr>
            <w:r w:rsidRPr="006B16D0">
              <w:rPr>
                <w:rFonts w:asciiTheme="majorHAnsi" w:hAnsiTheme="majorHAnsi" w:cstheme="majorHAnsi"/>
                <w:b/>
              </w:rPr>
              <w:t>Research experience</w:t>
            </w:r>
            <w:r w:rsidRPr="006B16D0">
              <w:rPr>
                <w:rFonts w:asciiTheme="majorHAnsi" w:hAnsiTheme="majorHAnsi" w:cstheme="majorHAnsi"/>
              </w:rPr>
              <w:t>: Field of expertise Traffic Safety. Author and coauthor of number of scholarly or professional papers published in many national and international Journals and Proceedings of International and National Conferences.</w:t>
            </w:r>
          </w:p>
        </w:tc>
      </w:tr>
      <w:tr w:rsidR="006D38A3" w:rsidTr="001A4729">
        <w:tc>
          <w:tcPr>
            <w:tcW w:w="10916" w:type="dxa"/>
            <w:gridSpan w:val="2"/>
          </w:tcPr>
          <w:p w:rsidR="006D38A3" w:rsidRPr="006B16D0" w:rsidRDefault="006D38A3" w:rsidP="006D38A3">
            <w:pPr>
              <w:ind w:left="720" w:hanging="720"/>
              <w:jc w:val="both"/>
              <w:rPr>
                <w:rFonts w:asciiTheme="majorHAnsi" w:hAnsiTheme="majorHAnsi" w:cstheme="majorHAnsi"/>
              </w:rPr>
            </w:pPr>
            <w:r w:rsidRPr="006B16D0">
              <w:rPr>
                <w:rFonts w:asciiTheme="majorHAnsi" w:hAnsiTheme="majorHAnsi" w:cstheme="majorHAnsi"/>
              </w:rPr>
              <w:t>1.</w:t>
            </w:r>
            <w:r w:rsidRPr="006B16D0">
              <w:rPr>
                <w:rFonts w:asciiTheme="majorHAnsi" w:hAnsiTheme="majorHAnsi" w:cstheme="majorHAnsi"/>
                <w:shd w:val="clear" w:color="auto" w:fill="FFFFFF"/>
              </w:rPr>
              <w:t xml:space="preserve"> </w:t>
            </w:r>
            <w:proofErr w:type="spellStart"/>
            <w:r w:rsidRPr="006B16D0">
              <w:rPr>
                <w:rFonts w:asciiTheme="majorHAnsi" w:hAnsiTheme="majorHAnsi" w:cstheme="majorHAnsi"/>
                <w:b/>
                <w:u w:val="single"/>
                <w:shd w:val="clear" w:color="auto" w:fill="FFFFFF"/>
              </w:rPr>
              <w:t>Stanojević</w:t>
            </w:r>
            <w:proofErr w:type="spellEnd"/>
            <w:r w:rsidRPr="006B16D0">
              <w:rPr>
                <w:rFonts w:asciiTheme="majorHAnsi" w:hAnsiTheme="majorHAnsi" w:cstheme="majorHAnsi"/>
                <w:b/>
                <w:u w:val="single"/>
                <w:shd w:val="clear" w:color="auto" w:fill="FFFFFF"/>
              </w:rPr>
              <w:t>, P.</w:t>
            </w:r>
            <w:r w:rsidRPr="006B16D0">
              <w:rPr>
                <w:rFonts w:asciiTheme="majorHAnsi" w:hAnsiTheme="majorHAnsi" w:cstheme="majorHAnsi"/>
                <w:shd w:val="clear" w:color="auto" w:fill="FFFFFF"/>
              </w:rPr>
              <w:t xml:space="preserve">, </w:t>
            </w:r>
            <w:proofErr w:type="spellStart"/>
            <w:r w:rsidRPr="006B16D0">
              <w:rPr>
                <w:rFonts w:asciiTheme="majorHAnsi" w:hAnsiTheme="majorHAnsi" w:cstheme="majorHAnsi"/>
                <w:shd w:val="clear" w:color="auto" w:fill="FFFFFF"/>
              </w:rPr>
              <w:t>Lajunen</w:t>
            </w:r>
            <w:proofErr w:type="spellEnd"/>
            <w:r w:rsidRPr="006B16D0">
              <w:rPr>
                <w:rFonts w:asciiTheme="majorHAnsi" w:hAnsiTheme="majorHAnsi" w:cstheme="majorHAnsi"/>
                <w:shd w:val="clear" w:color="auto" w:fill="FFFFFF"/>
              </w:rPr>
              <w:t xml:space="preserve">, T., </w:t>
            </w:r>
            <w:proofErr w:type="spellStart"/>
            <w:r w:rsidRPr="006B16D0">
              <w:rPr>
                <w:rFonts w:asciiTheme="majorHAnsi" w:hAnsiTheme="majorHAnsi" w:cstheme="majorHAnsi"/>
                <w:shd w:val="clear" w:color="auto" w:fill="FFFFFF"/>
              </w:rPr>
              <w:t>Jovanović</w:t>
            </w:r>
            <w:proofErr w:type="spellEnd"/>
            <w:r w:rsidRPr="006B16D0">
              <w:rPr>
                <w:rFonts w:asciiTheme="majorHAnsi" w:hAnsiTheme="majorHAnsi" w:cstheme="majorHAnsi"/>
                <w:shd w:val="clear" w:color="auto" w:fill="FFFFFF"/>
              </w:rPr>
              <w:t xml:space="preserve">, D., </w:t>
            </w:r>
            <w:proofErr w:type="spellStart"/>
            <w:r w:rsidRPr="006B16D0">
              <w:rPr>
                <w:rFonts w:asciiTheme="majorHAnsi" w:hAnsiTheme="majorHAnsi" w:cstheme="majorHAnsi"/>
                <w:shd w:val="clear" w:color="auto" w:fill="FFFFFF"/>
              </w:rPr>
              <w:t>Sârbescu</w:t>
            </w:r>
            <w:proofErr w:type="spellEnd"/>
            <w:r w:rsidRPr="006B16D0">
              <w:rPr>
                <w:rFonts w:asciiTheme="majorHAnsi" w:hAnsiTheme="majorHAnsi" w:cstheme="majorHAnsi"/>
                <w:shd w:val="clear" w:color="auto" w:fill="FFFFFF"/>
              </w:rPr>
              <w:t xml:space="preserve">, P., &amp; </w:t>
            </w:r>
            <w:proofErr w:type="spellStart"/>
            <w:r w:rsidRPr="006B16D0">
              <w:rPr>
                <w:rFonts w:asciiTheme="majorHAnsi" w:hAnsiTheme="majorHAnsi" w:cstheme="majorHAnsi"/>
                <w:shd w:val="clear" w:color="auto" w:fill="FFFFFF"/>
              </w:rPr>
              <w:t>Kostadinov</w:t>
            </w:r>
            <w:proofErr w:type="spellEnd"/>
            <w:r w:rsidRPr="006B16D0">
              <w:rPr>
                <w:rFonts w:asciiTheme="majorHAnsi" w:hAnsiTheme="majorHAnsi" w:cstheme="majorHAnsi"/>
                <w:shd w:val="clear" w:color="auto" w:fill="FFFFFF"/>
              </w:rPr>
              <w:t xml:space="preserve">, S. (2018). The driver </w:t>
            </w:r>
            <w:proofErr w:type="spellStart"/>
            <w:r w:rsidRPr="006B16D0">
              <w:rPr>
                <w:rFonts w:asciiTheme="majorHAnsi" w:hAnsiTheme="majorHAnsi" w:cstheme="majorHAnsi"/>
                <w:shd w:val="clear" w:color="auto" w:fill="FFFFFF"/>
              </w:rPr>
              <w:t>behaviour</w:t>
            </w:r>
            <w:proofErr w:type="spellEnd"/>
            <w:r w:rsidRPr="006B16D0">
              <w:rPr>
                <w:rFonts w:asciiTheme="majorHAnsi" w:hAnsiTheme="majorHAnsi" w:cstheme="majorHAnsi"/>
                <w:shd w:val="clear" w:color="auto" w:fill="FFFFFF"/>
              </w:rPr>
              <w:t xml:space="preserve"> questionnaire in South-East Europe countries: Bulgaria, Romania and Serbia. </w:t>
            </w:r>
            <w:r w:rsidRPr="006B16D0">
              <w:rPr>
                <w:rFonts w:asciiTheme="majorHAnsi" w:hAnsiTheme="majorHAnsi" w:cstheme="majorHAnsi"/>
                <w:i/>
                <w:iCs/>
                <w:shd w:val="clear" w:color="auto" w:fill="FFFFFF"/>
              </w:rPr>
              <w:t xml:space="preserve">Transportation Research Part F: Traffic Psychology and </w:t>
            </w:r>
            <w:proofErr w:type="spellStart"/>
            <w:r w:rsidRPr="006B16D0">
              <w:rPr>
                <w:rFonts w:asciiTheme="majorHAnsi" w:hAnsiTheme="majorHAnsi" w:cstheme="majorHAnsi"/>
                <w:i/>
                <w:iCs/>
                <w:shd w:val="clear" w:color="auto" w:fill="FFFFFF"/>
              </w:rPr>
              <w:t>Behaviour</w:t>
            </w:r>
            <w:proofErr w:type="spellEnd"/>
            <w:r w:rsidRPr="006B16D0">
              <w:rPr>
                <w:rFonts w:asciiTheme="majorHAnsi" w:hAnsiTheme="majorHAnsi" w:cstheme="majorHAnsi"/>
                <w:shd w:val="clear" w:color="auto" w:fill="FFFFFF"/>
              </w:rPr>
              <w:t>, </w:t>
            </w:r>
            <w:r w:rsidRPr="006B16D0">
              <w:rPr>
                <w:rFonts w:asciiTheme="majorHAnsi" w:hAnsiTheme="majorHAnsi" w:cstheme="majorHAnsi"/>
                <w:i/>
                <w:iCs/>
                <w:shd w:val="clear" w:color="auto" w:fill="FFFFFF"/>
              </w:rPr>
              <w:t>53</w:t>
            </w:r>
            <w:r w:rsidRPr="006B16D0">
              <w:rPr>
                <w:rFonts w:asciiTheme="majorHAnsi" w:hAnsiTheme="majorHAnsi" w:cstheme="majorHAnsi"/>
                <w:shd w:val="clear" w:color="auto" w:fill="FFFFFF"/>
              </w:rPr>
              <w:t>, 24-33.</w:t>
            </w:r>
          </w:p>
          <w:p w:rsidR="006D38A3" w:rsidRPr="006B16D0" w:rsidRDefault="006D38A3" w:rsidP="006D38A3">
            <w:pPr>
              <w:ind w:left="720" w:hanging="720"/>
              <w:jc w:val="both"/>
              <w:rPr>
                <w:rFonts w:asciiTheme="majorHAnsi" w:hAnsiTheme="majorHAnsi" w:cstheme="majorHAnsi"/>
              </w:rPr>
            </w:pPr>
            <w:r w:rsidRPr="006B16D0">
              <w:rPr>
                <w:rFonts w:asciiTheme="majorHAnsi" w:hAnsiTheme="majorHAnsi" w:cstheme="majorHAnsi"/>
              </w:rPr>
              <w:t>2.</w:t>
            </w:r>
            <w:r w:rsidRPr="006B16D0">
              <w:rPr>
                <w:rFonts w:asciiTheme="majorHAnsi" w:hAnsiTheme="majorHAnsi" w:cstheme="majorHAnsi"/>
                <w:b/>
                <w:u w:val="single"/>
                <w:shd w:val="clear" w:color="auto" w:fill="FFFFFF"/>
              </w:rPr>
              <w:t xml:space="preserve"> </w:t>
            </w:r>
            <w:proofErr w:type="spellStart"/>
            <w:r w:rsidRPr="006B16D0">
              <w:rPr>
                <w:rFonts w:asciiTheme="majorHAnsi" w:hAnsiTheme="majorHAnsi" w:cstheme="majorHAnsi"/>
                <w:b/>
                <w:u w:val="single"/>
                <w:shd w:val="clear" w:color="auto" w:fill="FFFFFF"/>
              </w:rPr>
              <w:t>Stanojević</w:t>
            </w:r>
            <w:proofErr w:type="spellEnd"/>
            <w:r w:rsidRPr="006B16D0">
              <w:rPr>
                <w:rFonts w:asciiTheme="majorHAnsi" w:hAnsiTheme="majorHAnsi" w:cstheme="majorHAnsi"/>
                <w:b/>
                <w:u w:val="single"/>
                <w:shd w:val="clear" w:color="auto" w:fill="FFFFFF"/>
              </w:rPr>
              <w:t>, P.</w:t>
            </w:r>
            <w:r w:rsidRPr="006B16D0">
              <w:rPr>
                <w:rFonts w:asciiTheme="majorHAnsi" w:hAnsiTheme="majorHAnsi" w:cstheme="majorHAnsi"/>
                <w:shd w:val="clear" w:color="auto" w:fill="FFFFFF"/>
              </w:rPr>
              <w:t xml:space="preserve">, </w:t>
            </w:r>
            <w:proofErr w:type="spellStart"/>
            <w:r w:rsidRPr="006B16D0">
              <w:rPr>
                <w:rFonts w:asciiTheme="majorHAnsi" w:hAnsiTheme="majorHAnsi" w:cstheme="majorHAnsi"/>
                <w:shd w:val="clear" w:color="auto" w:fill="FFFFFF"/>
              </w:rPr>
              <w:t>Sullman</w:t>
            </w:r>
            <w:proofErr w:type="spellEnd"/>
            <w:r w:rsidRPr="006B16D0">
              <w:rPr>
                <w:rFonts w:asciiTheme="majorHAnsi" w:hAnsiTheme="majorHAnsi" w:cstheme="majorHAnsi"/>
                <w:shd w:val="clear" w:color="auto" w:fill="FFFFFF"/>
              </w:rPr>
              <w:t xml:space="preserve">, M. J., </w:t>
            </w:r>
            <w:proofErr w:type="spellStart"/>
            <w:r w:rsidRPr="006B16D0">
              <w:rPr>
                <w:rFonts w:asciiTheme="majorHAnsi" w:hAnsiTheme="majorHAnsi" w:cstheme="majorHAnsi"/>
                <w:shd w:val="clear" w:color="auto" w:fill="FFFFFF"/>
              </w:rPr>
              <w:t>Jovanović</w:t>
            </w:r>
            <w:proofErr w:type="spellEnd"/>
            <w:r w:rsidRPr="006B16D0">
              <w:rPr>
                <w:rFonts w:asciiTheme="majorHAnsi" w:hAnsiTheme="majorHAnsi" w:cstheme="majorHAnsi"/>
                <w:shd w:val="clear" w:color="auto" w:fill="FFFFFF"/>
              </w:rPr>
              <w:t xml:space="preserve">, D., &amp; </w:t>
            </w:r>
            <w:proofErr w:type="spellStart"/>
            <w:r w:rsidRPr="006B16D0">
              <w:rPr>
                <w:rFonts w:asciiTheme="majorHAnsi" w:hAnsiTheme="majorHAnsi" w:cstheme="majorHAnsi"/>
                <w:shd w:val="clear" w:color="auto" w:fill="FFFFFF"/>
              </w:rPr>
              <w:t>Stanojević</w:t>
            </w:r>
            <w:proofErr w:type="spellEnd"/>
            <w:r w:rsidRPr="006B16D0">
              <w:rPr>
                <w:rFonts w:asciiTheme="majorHAnsi" w:hAnsiTheme="majorHAnsi" w:cstheme="majorHAnsi"/>
                <w:shd w:val="clear" w:color="auto" w:fill="FFFFFF"/>
              </w:rPr>
              <w:t>, D. (2018). The impact of police presence on angry and aggressive driving. </w:t>
            </w:r>
            <w:r w:rsidRPr="006B16D0">
              <w:rPr>
                <w:rFonts w:asciiTheme="majorHAnsi" w:hAnsiTheme="majorHAnsi" w:cstheme="majorHAnsi"/>
                <w:i/>
                <w:iCs/>
                <w:shd w:val="clear" w:color="auto" w:fill="FFFFFF"/>
              </w:rPr>
              <w:t>Accident Analysis &amp; Prevention</w:t>
            </w:r>
            <w:r w:rsidRPr="006B16D0">
              <w:rPr>
                <w:rFonts w:asciiTheme="majorHAnsi" w:hAnsiTheme="majorHAnsi" w:cstheme="majorHAnsi"/>
                <w:shd w:val="clear" w:color="auto" w:fill="FFFFFF"/>
              </w:rPr>
              <w:t>, </w:t>
            </w:r>
            <w:r w:rsidRPr="006B16D0">
              <w:rPr>
                <w:rFonts w:asciiTheme="majorHAnsi" w:hAnsiTheme="majorHAnsi" w:cstheme="majorHAnsi"/>
                <w:i/>
                <w:iCs/>
                <w:shd w:val="clear" w:color="auto" w:fill="FFFFFF"/>
              </w:rPr>
              <w:t>110</w:t>
            </w:r>
            <w:r w:rsidRPr="006B16D0">
              <w:rPr>
                <w:rFonts w:asciiTheme="majorHAnsi" w:hAnsiTheme="majorHAnsi" w:cstheme="majorHAnsi"/>
                <w:shd w:val="clear" w:color="auto" w:fill="FFFFFF"/>
              </w:rPr>
              <w:t>, 93-100.</w:t>
            </w:r>
          </w:p>
          <w:p w:rsidR="006D38A3" w:rsidRPr="006B16D0" w:rsidRDefault="006D38A3" w:rsidP="006D38A3">
            <w:pPr>
              <w:ind w:left="720" w:hanging="720"/>
              <w:jc w:val="both"/>
              <w:rPr>
                <w:rFonts w:asciiTheme="majorHAnsi" w:hAnsiTheme="majorHAnsi" w:cstheme="majorHAnsi"/>
              </w:rPr>
            </w:pPr>
            <w:r w:rsidRPr="006B16D0">
              <w:rPr>
                <w:rFonts w:asciiTheme="majorHAnsi" w:hAnsiTheme="majorHAnsi" w:cstheme="majorHAnsi"/>
              </w:rPr>
              <w:t>3.</w:t>
            </w:r>
            <w:r w:rsidRPr="006B16D0">
              <w:rPr>
                <w:rFonts w:asciiTheme="majorHAnsi" w:hAnsiTheme="majorHAnsi" w:cstheme="majorHAnsi"/>
                <w:lang w:val="en-GB" w:eastAsia="en-GB"/>
              </w:rPr>
              <w:t xml:space="preserve"> </w:t>
            </w:r>
            <w:proofErr w:type="spellStart"/>
            <w:r w:rsidRPr="006B16D0">
              <w:rPr>
                <w:rFonts w:asciiTheme="majorHAnsi" w:hAnsiTheme="majorHAnsi" w:cstheme="majorHAnsi"/>
                <w:lang w:val="en-GB" w:eastAsia="en-GB"/>
              </w:rPr>
              <w:t>Bulajić</w:t>
            </w:r>
            <w:proofErr w:type="spellEnd"/>
            <w:r w:rsidRPr="006B16D0">
              <w:rPr>
                <w:rFonts w:asciiTheme="majorHAnsi" w:hAnsiTheme="majorHAnsi" w:cstheme="majorHAnsi"/>
                <w:lang w:val="en-GB" w:eastAsia="en-GB"/>
              </w:rPr>
              <w:t xml:space="preserve">, A., </w:t>
            </w:r>
            <w:proofErr w:type="spellStart"/>
            <w:r w:rsidRPr="006B16D0">
              <w:rPr>
                <w:rFonts w:asciiTheme="majorHAnsi" w:hAnsiTheme="majorHAnsi" w:cstheme="majorHAnsi"/>
                <w:lang w:val="en-GB" w:eastAsia="en-GB"/>
              </w:rPr>
              <w:t>Nešić</w:t>
            </w:r>
            <w:proofErr w:type="spellEnd"/>
            <w:r w:rsidRPr="006B16D0">
              <w:rPr>
                <w:rFonts w:asciiTheme="majorHAnsi" w:hAnsiTheme="majorHAnsi" w:cstheme="majorHAnsi"/>
                <w:lang w:val="en-GB" w:eastAsia="en-GB"/>
              </w:rPr>
              <w:t xml:space="preserve">, M., </w:t>
            </w:r>
            <w:proofErr w:type="spellStart"/>
            <w:r w:rsidRPr="006B16D0">
              <w:rPr>
                <w:rFonts w:asciiTheme="majorHAnsi" w:hAnsiTheme="majorHAnsi" w:cstheme="majorHAnsi"/>
                <w:b/>
                <w:u w:val="single"/>
                <w:lang w:val="en-GB" w:eastAsia="en-GB"/>
              </w:rPr>
              <w:t>Stanojević</w:t>
            </w:r>
            <w:proofErr w:type="spellEnd"/>
            <w:r w:rsidRPr="006B16D0">
              <w:rPr>
                <w:rFonts w:asciiTheme="majorHAnsi" w:hAnsiTheme="majorHAnsi" w:cstheme="majorHAnsi"/>
                <w:b/>
                <w:u w:val="single"/>
                <w:lang w:val="en-GB" w:eastAsia="en-GB"/>
              </w:rPr>
              <w:t>, P.</w:t>
            </w:r>
            <w:r w:rsidRPr="006B16D0">
              <w:rPr>
                <w:rFonts w:asciiTheme="majorHAnsi" w:hAnsiTheme="majorHAnsi" w:cstheme="majorHAnsi"/>
                <w:lang w:val="en-GB" w:eastAsia="en-GB"/>
              </w:rPr>
              <w:t xml:space="preserve"> (2016). </w:t>
            </w:r>
            <w:proofErr w:type="spellStart"/>
            <w:r w:rsidRPr="006B16D0">
              <w:rPr>
                <w:rFonts w:asciiTheme="majorHAnsi" w:hAnsiTheme="majorHAnsi" w:cstheme="majorHAnsi"/>
                <w:lang w:val="en-GB" w:eastAsia="en-GB"/>
              </w:rPr>
              <w:t>Bezbednost</w:t>
            </w:r>
            <w:proofErr w:type="spellEnd"/>
            <w:r w:rsidRPr="006B16D0">
              <w:rPr>
                <w:rFonts w:asciiTheme="majorHAnsi" w:hAnsiTheme="majorHAnsi" w:cstheme="majorHAnsi"/>
                <w:lang w:val="en-GB" w:eastAsia="en-GB"/>
              </w:rPr>
              <w:t xml:space="preserve"> </w:t>
            </w:r>
            <w:proofErr w:type="spellStart"/>
            <w:r w:rsidRPr="006B16D0">
              <w:rPr>
                <w:rFonts w:asciiTheme="majorHAnsi" w:hAnsiTheme="majorHAnsi" w:cstheme="majorHAnsi"/>
                <w:lang w:val="en-GB" w:eastAsia="en-GB"/>
              </w:rPr>
              <w:t>pešaka</w:t>
            </w:r>
            <w:proofErr w:type="spellEnd"/>
            <w:r w:rsidRPr="006B16D0">
              <w:rPr>
                <w:rFonts w:asciiTheme="majorHAnsi" w:hAnsiTheme="majorHAnsi" w:cstheme="majorHAnsi"/>
                <w:lang w:val="en-GB" w:eastAsia="en-GB"/>
              </w:rPr>
              <w:t xml:space="preserve"> </w:t>
            </w:r>
            <w:proofErr w:type="spellStart"/>
            <w:r w:rsidRPr="006B16D0">
              <w:rPr>
                <w:rFonts w:asciiTheme="majorHAnsi" w:hAnsiTheme="majorHAnsi" w:cstheme="majorHAnsi"/>
                <w:lang w:val="en-GB" w:eastAsia="en-GB"/>
              </w:rPr>
              <w:t>na</w:t>
            </w:r>
            <w:proofErr w:type="spellEnd"/>
            <w:r w:rsidRPr="006B16D0">
              <w:rPr>
                <w:rFonts w:asciiTheme="majorHAnsi" w:hAnsiTheme="majorHAnsi" w:cstheme="majorHAnsi"/>
                <w:lang w:val="en-GB" w:eastAsia="en-GB"/>
              </w:rPr>
              <w:t xml:space="preserve"> </w:t>
            </w:r>
            <w:proofErr w:type="spellStart"/>
            <w:r w:rsidRPr="006B16D0">
              <w:rPr>
                <w:rFonts w:asciiTheme="majorHAnsi" w:hAnsiTheme="majorHAnsi" w:cstheme="majorHAnsi"/>
                <w:lang w:val="en-GB" w:eastAsia="en-GB"/>
              </w:rPr>
              <w:t>raskrsnicama</w:t>
            </w:r>
            <w:proofErr w:type="spellEnd"/>
            <w:r w:rsidRPr="006B16D0">
              <w:rPr>
                <w:rFonts w:asciiTheme="majorHAnsi" w:hAnsiTheme="majorHAnsi" w:cstheme="majorHAnsi"/>
                <w:lang w:val="en-GB" w:eastAsia="en-GB"/>
              </w:rPr>
              <w:t xml:space="preserve"> </w:t>
            </w:r>
            <w:proofErr w:type="spellStart"/>
            <w:r w:rsidRPr="006B16D0">
              <w:rPr>
                <w:rFonts w:asciiTheme="majorHAnsi" w:hAnsiTheme="majorHAnsi" w:cstheme="majorHAnsi"/>
                <w:lang w:val="en-GB" w:eastAsia="en-GB"/>
              </w:rPr>
              <w:t>regulisanim</w:t>
            </w:r>
            <w:proofErr w:type="spellEnd"/>
            <w:r w:rsidRPr="006B16D0">
              <w:rPr>
                <w:rFonts w:asciiTheme="majorHAnsi" w:hAnsiTheme="majorHAnsi" w:cstheme="majorHAnsi"/>
                <w:lang w:val="en-GB" w:eastAsia="en-GB"/>
              </w:rPr>
              <w:t xml:space="preserve"> </w:t>
            </w:r>
            <w:proofErr w:type="spellStart"/>
            <w:r w:rsidRPr="006B16D0">
              <w:rPr>
                <w:rFonts w:asciiTheme="majorHAnsi" w:hAnsiTheme="majorHAnsi" w:cstheme="majorHAnsi"/>
                <w:lang w:val="en-GB" w:eastAsia="en-GB"/>
              </w:rPr>
              <w:t>semaforima</w:t>
            </w:r>
            <w:proofErr w:type="spellEnd"/>
            <w:r w:rsidRPr="006B16D0">
              <w:rPr>
                <w:rFonts w:asciiTheme="majorHAnsi" w:hAnsiTheme="majorHAnsi" w:cstheme="majorHAnsi"/>
                <w:lang w:val="en-GB" w:eastAsia="en-GB"/>
              </w:rPr>
              <w:t xml:space="preserve">. </w:t>
            </w:r>
            <w:r w:rsidRPr="006B16D0">
              <w:rPr>
                <w:rFonts w:asciiTheme="majorHAnsi" w:hAnsiTheme="majorHAnsi" w:cstheme="majorHAnsi"/>
                <w:i/>
                <w:lang w:val="sr-Cyrl-CS"/>
              </w:rPr>
              <w:t>1</w:t>
            </w:r>
            <w:r w:rsidRPr="006B16D0">
              <w:rPr>
                <w:rFonts w:asciiTheme="majorHAnsi" w:hAnsiTheme="majorHAnsi" w:cstheme="majorHAnsi"/>
                <w:i/>
              </w:rPr>
              <w:t>3</w:t>
            </w:r>
            <w:r w:rsidRPr="006B16D0">
              <w:rPr>
                <w:rFonts w:asciiTheme="majorHAnsi" w:hAnsiTheme="majorHAnsi" w:cstheme="majorHAnsi"/>
                <w:i/>
                <w:vertAlign w:val="superscript"/>
                <w:lang w:val="sr-Cyrl-CS"/>
              </w:rPr>
              <w:t>th</w:t>
            </w:r>
            <w:r w:rsidRPr="006B16D0">
              <w:rPr>
                <w:rFonts w:asciiTheme="majorHAnsi" w:hAnsiTheme="majorHAnsi" w:cstheme="majorHAnsi"/>
                <w:i/>
                <w:lang w:val="sr-Cyrl-CS"/>
              </w:rPr>
              <w:t xml:space="preserve">  International Symposium Road accidents prevention 201</w:t>
            </w:r>
            <w:r w:rsidRPr="006B16D0">
              <w:rPr>
                <w:rFonts w:asciiTheme="majorHAnsi" w:hAnsiTheme="majorHAnsi" w:cstheme="majorHAnsi"/>
                <w:i/>
              </w:rPr>
              <w:t>6</w:t>
            </w:r>
            <w:r w:rsidRPr="006B16D0">
              <w:rPr>
                <w:rFonts w:asciiTheme="majorHAnsi" w:hAnsiTheme="majorHAnsi" w:cstheme="majorHAnsi"/>
                <w:i/>
                <w:lang w:val="sr-Cyrl-CS"/>
              </w:rPr>
              <w:t xml:space="preserve"> (</w:t>
            </w:r>
            <w:r w:rsidRPr="006B16D0">
              <w:rPr>
                <w:rFonts w:asciiTheme="majorHAnsi" w:hAnsiTheme="majorHAnsi" w:cstheme="majorHAnsi"/>
                <w:i/>
              </w:rPr>
              <w:t>13</w:t>
            </w:r>
            <w:r w:rsidRPr="006B16D0">
              <w:rPr>
                <w:rFonts w:asciiTheme="majorHAnsi" w:hAnsiTheme="majorHAnsi" w:cstheme="majorHAnsi"/>
                <w:i/>
                <w:lang w:val="sr-Cyrl-CS"/>
              </w:rPr>
              <w:t>-1</w:t>
            </w:r>
            <w:r w:rsidRPr="006B16D0">
              <w:rPr>
                <w:rFonts w:asciiTheme="majorHAnsi" w:hAnsiTheme="majorHAnsi" w:cstheme="majorHAnsi"/>
                <w:i/>
              </w:rPr>
              <w:t>4</w:t>
            </w:r>
            <w:r w:rsidRPr="006B16D0">
              <w:rPr>
                <w:rFonts w:asciiTheme="majorHAnsi" w:hAnsiTheme="majorHAnsi" w:cstheme="majorHAnsi"/>
                <w:i/>
                <w:lang w:val="sr-Cyrl-CS"/>
              </w:rPr>
              <w:t xml:space="preserve"> Оctober)</w:t>
            </w:r>
            <w:r w:rsidRPr="006B16D0">
              <w:rPr>
                <w:rFonts w:asciiTheme="majorHAnsi" w:hAnsiTheme="majorHAnsi" w:cstheme="majorHAnsi"/>
                <w:lang w:val="sr-Cyrl-CS"/>
              </w:rPr>
              <w:t xml:space="preserve">, pp. </w:t>
            </w:r>
            <w:r w:rsidRPr="006B16D0">
              <w:rPr>
                <w:rFonts w:asciiTheme="majorHAnsi" w:hAnsiTheme="majorHAnsi" w:cstheme="majorHAnsi"/>
              </w:rPr>
              <w:t>285</w:t>
            </w:r>
            <w:r w:rsidRPr="006B16D0">
              <w:rPr>
                <w:rFonts w:asciiTheme="majorHAnsi" w:hAnsiTheme="majorHAnsi" w:cstheme="majorHAnsi"/>
                <w:lang w:val="sr-Cyrl-CS"/>
              </w:rPr>
              <w:t>-</w:t>
            </w:r>
            <w:r w:rsidRPr="006B16D0">
              <w:rPr>
                <w:rFonts w:asciiTheme="majorHAnsi" w:hAnsiTheme="majorHAnsi" w:cstheme="majorHAnsi"/>
              </w:rPr>
              <w:t>293</w:t>
            </w:r>
            <w:r w:rsidRPr="006B16D0">
              <w:rPr>
                <w:rFonts w:asciiTheme="majorHAnsi" w:hAnsiTheme="majorHAnsi" w:cstheme="majorHAnsi"/>
                <w:lang w:val="sr-Cyrl-CS"/>
              </w:rPr>
              <w:t>, Novi Sad. ISBN: 978-86-7892-</w:t>
            </w:r>
            <w:r w:rsidRPr="006B16D0">
              <w:rPr>
                <w:rFonts w:asciiTheme="majorHAnsi" w:hAnsiTheme="majorHAnsi" w:cstheme="majorHAnsi"/>
              </w:rPr>
              <w:t>855</w:t>
            </w:r>
            <w:r w:rsidRPr="006B16D0">
              <w:rPr>
                <w:rFonts w:asciiTheme="majorHAnsi" w:hAnsiTheme="majorHAnsi" w:cstheme="majorHAnsi"/>
                <w:lang w:val="sr-Cyrl-CS"/>
              </w:rPr>
              <w:t>-</w:t>
            </w:r>
            <w:r w:rsidRPr="006B16D0">
              <w:rPr>
                <w:rFonts w:asciiTheme="majorHAnsi" w:hAnsiTheme="majorHAnsi" w:cstheme="majorHAnsi"/>
              </w:rPr>
              <w:t>0</w:t>
            </w:r>
            <w:r w:rsidRPr="006B16D0">
              <w:rPr>
                <w:rFonts w:asciiTheme="majorHAnsi" w:hAnsiTheme="majorHAnsi" w:cstheme="majorHAnsi"/>
                <w:lang w:val="sr-Cyrl-CS"/>
              </w:rPr>
              <w:t>.</w:t>
            </w:r>
            <w:r w:rsidRPr="006B16D0">
              <w:rPr>
                <w:rFonts w:asciiTheme="majorHAnsi" w:hAnsiTheme="majorHAnsi" w:cstheme="majorHAnsi"/>
                <w:bCs/>
              </w:rPr>
              <w:t xml:space="preserve"> UDK: 614.86(082) 656.1.08(082).</w:t>
            </w:r>
          </w:p>
          <w:p w:rsidR="006D38A3" w:rsidRPr="006B16D0" w:rsidRDefault="006D38A3" w:rsidP="006D38A3">
            <w:pPr>
              <w:ind w:left="720" w:hanging="720"/>
              <w:jc w:val="both"/>
              <w:rPr>
                <w:rFonts w:asciiTheme="majorHAnsi" w:hAnsiTheme="majorHAnsi" w:cstheme="majorHAnsi"/>
              </w:rPr>
            </w:pPr>
            <w:r w:rsidRPr="006B16D0">
              <w:rPr>
                <w:rFonts w:asciiTheme="majorHAnsi" w:hAnsiTheme="majorHAnsi" w:cstheme="majorHAnsi"/>
              </w:rPr>
              <w:t>4.</w:t>
            </w:r>
            <w:r w:rsidRPr="006B16D0">
              <w:rPr>
                <w:rFonts w:asciiTheme="majorHAnsi" w:hAnsiTheme="majorHAnsi" w:cstheme="majorHAnsi"/>
                <w:shd w:val="clear" w:color="auto" w:fill="FFFFFF"/>
              </w:rPr>
              <w:t xml:space="preserve"> </w:t>
            </w:r>
            <w:proofErr w:type="spellStart"/>
            <w:r w:rsidRPr="006B16D0">
              <w:rPr>
                <w:rFonts w:asciiTheme="majorHAnsi" w:hAnsiTheme="majorHAnsi" w:cstheme="majorHAnsi"/>
                <w:shd w:val="clear" w:color="auto" w:fill="FFFFFF"/>
              </w:rPr>
              <w:t>Sârbescu</w:t>
            </w:r>
            <w:proofErr w:type="spellEnd"/>
            <w:r w:rsidRPr="006B16D0">
              <w:rPr>
                <w:rFonts w:asciiTheme="majorHAnsi" w:hAnsiTheme="majorHAnsi" w:cstheme="majorHAnsi"/>
                <w:shd w:val="clear" w:color="auto" w:fill="FFFFFF"/>
              </w:rPr>
              <w:t xml:space="preserve">, P., </w:t>
            </w:r>
            <w:proofErr w:type="spellStart"/>
            <w:r w:rsidRPr="006B16D0">
              <w:rPr>
                <w:rFonts w:asciiTheme="majorHAnsi" w:hAnsiTheme="majorHAnsi" w:cstheme="majorHAnsi"/>
                <w:b/>
                <w:u w:val="single"/>
                <w:shd w:val="clear" w:color="auto" w:fill="FFFFFF"/>
              </w:rPr>
              <w:t>Stanojević</w:t>
            </w:r>
            <w:proofErr w:type="spellEnd"/>
            <w:r w:rsidRPr="006B16D0">
              <w:rPr>
                <w:rFonts w:asciiTheme="majorHAnsi" w:hAnsiTheme="majorHAnsi" w:cstheme="majorHAnsi"/>
                <w:b/>
                <w:u w:val="single"/>
                <w:shd w:val="clear" w:color="auto" w:fill="FFFFFF"/>
              </w:rPr>
              <w:t>, P.</w:t>
            </w:r>
            <w:r w:rsidRPr="006B16D0">
              <w:rPr>
                <w:rFonts w:asciiTheme="majorHAnsi" w:hAnsiTheme="majorHAnsi" w:cstheme="majorHAnsi"/>
                <w:shd w:val="clear" w:color="auto" w:fill="FFFFFF"/>
              </w:rPr>
              <w:t xml:space="preserve">, &amp; </w:t>
            </w:r>
            <w:proofErr w:type="spellStart"/>
            <w:r w:rsidRPr="006B16D0">
              <w:rPr>
                <w:rFonts w:asciiTheme="majorHAnsi" w:hAnsiTheme="majorHAnsi" w:cstheme="majorHAnsi"/>
                <w:shd w:val="clear" w:color="auto" w:fill="FFFFFF"/>
              </w:rPr>
              <w:t>Jovanović</w:t>
            </w:r>
            <w:proofErr w:type="spellEnd"/>
            <w:r w:rsidRPr="006B16D0">
              <w:rPr>
                <w:rFonts w:asciiTheme="majorHAnsi" w:hAnsiTheme="majorHAnsi" w:cstheme="majorHAnsi"/>
                <w:shd w:val="clear" w:color="auto" w:fill="FFFFFF"/>
              </w:rPr>
              <w:t>, D. (2014). A cross-cultural analysis of aggressive driving: Evidence from Serbia and Romania.</w:t>
            </w:r>
            <w:r w:rsidRPr="006B16D0">
              <w:rPr>
                <w:rStyle w:val="apple-converted-space"/>
                <w:rFonts w:asciiTheme="majorHAnsi" w:hAnsiTheme="majorHAnsi" w:cstheme="majorHAnsi"/>
                <w:shd w:val="clear" w:color="auto" w:fill="FFFFFF"/>
              </w:rPr>
              <w:t> </w:t>
            </w:r>
            <w:r w:rsidRPr="006B16D0">
              <w:rPr>
                <w:rFonts w:asciiTheme="majorHAnsi" w:hAnsiTheme="majorHAnsi" w:cstheme="majorHAnsi"/>
                <w:i/>
                <w:iCs/>
                <w:shd w:val="clear" w:color="auto" w:fill="FFFFFF"/>
              </w:rPr>
              <w:t xml:space="preserve">Transportation Research Part F: Traffic Psychology and </w:t>
            </w:r>
            <w:proofErr w:type="spellStart"/>
            <w:r w:rsidRPr="006B16D0">
              <w:rPr>
                <w:rFonts w:asciiTheme="majorHAnsi" w:hAnsiTheme="majorHAnsi" w:cstheme="majorHAnsi"/>
                <w:i/>
                <w:iCs/>
                <w:shd w:val="clear" w:color="auto" w:fill="FFFFFF"/>
              </w:rPr>
              <w:t>Behaviour</w:t>
            </w:r>
            <w:proofErr w:type="spellEnd"/>
            <w:r w:rsidRPr="006B16D0">
              <w:rPr>
                <w:rFonts w:asciiTheme="majorHAnsi" w:hAnsiTheme="majorHAnsi" w:cstheme="majorHAnsi"/>
                <w:shd w:val="clear" w:color="auto" w:fill="FFFFFF"/>
              </w:rPr>
              <w:t>,</w:t>
            </w:r>
            <w:r w:rsidRPr="006B16D0">
              <w:rPr>
                <w:rStyle w:val="apple-converted-space"/>
                <w:rFonts w:asciiTheme="majorHAnsi" w:hAnsiTheme="majorHAnsi" w:cstheme="majorHAnsi"/>
                <w:shd w:val="clear" w:color="auto" w:fill="FFFFFF"/>
              </w:rPr>
              <w:t> </w:t>
            </w:r>
            <w:r w:rsidRPr="006B16D0">
              <w:rPr>
                <w:rStyle w:val="apple-converted-space"/>
                <w:rFonts w:asciiTheme="majorHAnsi" w:hAnsiTheme="majorHAnsi" w:cstheme="majorHAnsi"/>
                <w:shd w:val="clear" w:color="auto" w:fill="FFFFFF"/>
                <w:lang w:val="en-GB"/>
              </w:rPr>
              <w:t xml:space="preserve">vol. </w:t>
            </w:r>
            <w:r w:rsidRPr="006B16D0">
              <w:rPr>
                <w:rFonts w:asciiTheme="majorHAnsi" w:hAnsiTheme="majorHAnsi" w:cstheme="majorHAnsi"/>
                <w:iCs/>
                <w:shd w:val="clear" w:color="auto" w:fill="FFFFFF"/>
              </w:rPr>
              <w:t>24</w:t>
            </w:r>
            <w:r w:rsidRPr="006B16D0">
              <w:rPr>
                <w:rFonts w:asciiTheme="majorHAnsi" w:hAnsiTheme="majorHAnsi" w:cstheme="majorHAnsi"/>
                <w:shd w:val="clear" w:color="auto" w:fill="FFFFFF"/>
              </w:rPr>
              <w:t xml:space="preserve">, 210-217. </w:t>
            </w:r>
            <w:r w:rsidRPr="006B16D0">
              <w:rPr>
                <w:rFonts w:asciiTheme="majorHAnsi" w:hAnsiTheme="majorHAnsi" w:cstheme="majorHAnsi"/>
              </w:rPr>
              <w:t>ISSN: 1369-8478, DOI: 10.1016/j.trf.2014.04.002.</w:t>
            </w:r>
          </w:p>
          <w:p w:rsidR="006D38A3" w:rsidRDefault="006D38A3" w:rsidP="006D38A3">
            <w:pPr>
              <w:ind w:left="720" w:hanging="720"/>
              <w:jc w:val="both"/>
            </w:pPr>
            <w:r w:rsidRPr="006B16D0">
              <w:rPr>
                <w:rFonts w:asciiTheme="majorHAnsi" w:hAnsiTheme="majorHAnsi" w:cstheme="majorHAnsi"/>
              </w:rPr>
              <w:t>5.</w:t>
            </w:r>
            <w:r w:rsidRPr="006B16D0">
              <w:rPr>
                <w:rFonts w:asciiTheme="majorHAnsi" w:hAnsiTheme="majorHAnsi" w:cstheme="majorHAnsi"/>
                <w:b/>
                <w:bCs/>
                <w:u w:val="single"/>
              </w:rPr>
              <w:t xml:space="preserve"> </w:t>
            </w:r>
            <w:proofErr w:type="spellStart"/>
            <w:r w:rsidRPr="006B16D0">
              <w:rPr>
                <w:rFonts w:asciiTheme="majorHAnsi" w:hAnsiTheme="majorHAnsi" w:cstheme="majorHAnsi"/>
                <w:b/>
                <w:bCs/>
                <w:u w:val="single"/>
              </w:rPr>
              <w:t>Stanojević</w:t>
            </w:r>
            <w:proofErr w:type="spellEnd"/>
            <w:r w:rsidRPr="006B16D0">
              <w:rPr>
                <w:rFonts w:asciiTheme="majorHAnsi" w:hAnsiTheme="majorHAnsi" w:cstheme="majorHAnsi"/>
                <w:b/>
                <w:bCs/>
                <w:u w:val="single"/>
              </w:rPr>
              <w:t xml:space="preserve">, </w:t>
            </w:r>
            <w:r w:rsidRPr="006B16D0">
              <w:rPr>
                <w:rFonts w:asciiTheme="majorHAnsi" w:hAnsiTheme="majorHAnsi" w:cstheme="majorHAnsi"/>
                <w:b/>
                <w:bCs/>
                <w:u w:val="single"/>
                <w:lang w:val="en-GB"/>
              </w:rPr>
              <w:t>P.</w:t>
            </w:r>
            <w:r w:rsidRPr="006B16D0">
              <w:rPr>
                <w:rFonts w:asciiTheme="majorHAnsi" w:hAnsiTheme="majorHAnsi" w:cstheme="majorHAnsi"/>
                <w:bCs/>
                <w:lang w:val="en-GB"/>
              </w:rPr>
              <w:t xml:space="preserve">, </w:t>
            </w:r>
            <w:proofErr w:type="spellStart"/>
            <w:r w:rsidRPr="006B16D0">
              <w:rPr>
                <w:rFonts w:asciiTheme="majorHAnsi" w:hAnsiTheme="majorHAnsi" w:cstheme="majorHAnsi"/>
                <w:bCs/>
              </w:rPr>
              <w:t>Jovanović</w:t>
            </w:r>
            <w:proofErr w:type="spellEnd"/>
            <w:r w:rsidRPr="006B16D0">
              <w:rPr>
                <w:rFonts w:asciiTheme="majorHAnsi" w:hAnsiTheme="majorHAnsi" w:cstheme="majorHAnsi"/>
                <w:bCs/>
              </w:rPr>
              <w:t xml:space="preserve">, D., </w:t>
            </w:r>
            <w:r w:rsidRPr="006B16D0">
              <w:rPr>
                <w:rFonts w:asciiTheme="majorHAnsi" w:hAnsiTheme="majorHAnsi" w:cstheme="majorHAnsi"/>
              </w:rPr>
              <w:t xml:space="preserve">&amp; </w:t>
            </w:r>
            <w:proofErr w:type="spellStart"/>
            <w:r w:rsidRPr="006B16D0">
              <w:rPr>
                <w:rFonts w:asciiTheme="majorHAnsi" w:hAnsiTheme="majorHAnsi" w:cstheme="majorHAnsi"/>
              </w:rPr>
              <w:t>Lajunen</w:t>
            </w:r>
            <w:proofErr w:type="spellEnd"/>
            <w:r w:rsidRPr="006B16D0">
              <w:rPr>
                <w:rFonts w:asciiTheme="majorHAnsi" w:hAnsiTheme="majorHAnsi" w:cstheme="majorHAnsi"/>
              </w:rPr>
              <w:t xml:space="preserve">, T. (2013). </w:t>
            </w:r>
            <w:r w:rsidRPr="006B16D0">
              <w:rPr>
                <w:rFonts w:asciiTheme="majorHAnsi" w:hAnsiTheme="majorHAnsi" w:cstheme="majorHAnsi"/>
                <w:bCs/>
              </w:rPr>
              <w:t xml:space="preserve">Influence of traffic enforcement on the attitudes and behavior of drivers. </w:t>
            </w:r>
            <w:r w:rsidRPr="006B16D0">
              <w:rPr>
                <w:rFonts w:asciiTheme="majorHAnsi" w:hAnsiTheme="majorHAnsi" w:cstheme="majorHAnsi"/>
                <w:i/>
              </w:rPr>
              <w:t>Accident Analysis and Prevention</w:t>
            </w:r>
            <w:r w:rsidRPr="006B16D0">
              <w:rPr>
                <w:rFonts w:asciiTheme="majorHAnsi" w:hAnsiTheme="majorHAnsi" w:cstheme="majorHAnsi"/>
              </w:rPr>
              <w:t>, vol. 52, pp. 29-38. ISSN: 0001-4575</w:t>
            </w:r>
            <w:r w:rsidRPr="006B16D0">
              <w:rPr>
                <w:rFonts w:asciiTheme="majorHAnsi" w:hAnsiTheme="majorHAnsi" w:cstheme="majorHAnsi"/>
                <w:lang w:val="sr-Cyrl-CS"/>
              </w:rPr>
              <w:t>,</w:t>
            </w:r>
            <w:r w:rsidRPr="006B16D0">
              <w:rPr>
                <w:rFonts w:asciiTheme="majorHAnsi" w:hAnsiTheme="majorHAnsi" w:cstheme="majorHAnsi"/>
              </w:rPr>
              <w:t xml:space="preserve"> DOI: 10.1016/j.aap.2012.12.019.</w:t>
            </w:r>
          </w:p>
        </w:tc>
      </w:tr>
    </w:tbl>
    <w:p w:rsidR="008408D9" w:rsidRDefault="002E2F33">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72B" w:rsidRDefault="00E2372B" w:rsidP="00DE55A3">
      <w:pPr>
        <w:spacing w:after="0" w:line="240" w:lineRule="auto"/>
      </w:pPr>
      <w:r>
        <w:separator/>
      </w:r>
    </w:p>
  </w:endnote>
  <w:endnote w:type="continuationSeparator" w:id="0">
    <w:p w:rsidR="00E2372B" w:rsidRDefault="00E2372B"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2E2F33">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2E2F33">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6D38A3">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72B" w:rsidRDefault="00E2372B" w:rsidP="00DE55A3">
      <w:pPr>
        <w:spacing w:after="0" w:line="240" w:lineRule="auto"/>
      </w:pPr>
      <w:r>
        <w:separator/>
      </w:r>
    </w:p>
  </w:footnote>
  <w:footnote w:type="continuationSeparator" w:id="0">
    <w:p w:rsidR="00E2372B" w:rsidRDefault="00E2372B"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2E2F33">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1C90FA0"/>
    <w:multiLevelType w:val="hybridMultilevel"/>
    <w:tmpl w:val="5F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B794C8C"/>
    <w:multiLevelType w:val="hybridMultilevel"/>
    <w:tmpl w:val="A590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00162"/>
    <w:multiLevelType w:val="hybridMultilevel"/>
    <w:tmpl w:val="92AA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36212"/>
    <w:multiLevelType w:val="hybridMultilevel"/>
    <w:tmpl w:val="FD1A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789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18A8"/>
    <w:rsid w:val="000B07A5"/>
    <w:rsid w:val="000B3990"/>
    <w:rsid w:val="000C04C8"/>
    <w:rsid w:val="000E25E2"/>
    <w:rsid w:val="000E7504"/>
    <w:rsid w:val="00112CAC"/>
    <w:rsid w:val="001166D0"/>
    <w:rsid w:val="00121348"/>
    <w:rsid w:val="00145313"/>
    <w:rsid w:val="00161DA3"/>
    <w:rsid w:val="00174E03"/>
    <w:rsid w:val="00183377"/>
    <w:rsid w:val="00184CE6"/>
    <w:rsid w:val="001A2D8B"/>
    <w:rsid w:val="001A3247"/>
    <w:rsid w:val="001D3A9A"/>
    <w:rsid w:val="001E0145"/>
    <w:rsid w:val="001F229B"/>
    <w:rsid w:val="00200C0F"/>
    <w:rsid w:val="00210B84"/>
    <w:rsid w:val="00220CDD"/>
    <w:rsid w:val="0023719E"/>
    <w:rsid w:val="00271EBE"/>
    <w:rsid w:val="002A3146"/>
    <w:rsid w:val="002E2042"/>
    <w:rsid w:val="002E2A6E"/>
    <w:rsid w:val="002E2F33"/>
    <w:rsid w:val="0031015D"/>
    <w:rsid w:val="00337626"/>
    <w:rsid w:val="00344C81"/>
    <w:rsid w:val="003623C5"/>
    <w:rsid w:val="00362B80"/>
    <w:rsid w:val="0036672F"/>
    <w:rsid w:val="00372229"/>
    <w:rsid w:val="00394B00"/>
    <w:rsid w:val="003D1BC1"/>
    <w:rsid w:val="003D4EC1"/>
    <w:rsid w:val="003E4D46"/>
    <w:rsid w:val="004030AA"/>
    <w:rsid w:val="00407914"/>
    <w:rsid w:val="00421D16"/>
    <w:rsid w:val="00437578"/>
    <w:rsid w:val="004979BE"/>
    <w:rsid w:val="004B5678"/>
    <w:rsid w:val="004C417D"/>
    <w:rsid w:val="004F5303"/>
    <w:rsid w:val="004F7604"/>
    <w:rsid w:val="00521169"/>
    <w:rsid w:val="00532FDD"/>
    <w:rsid w:val="00545ED0"/>
    <w:rsid w:val="00550FE5"/>
    <w:rsid w:val="005545D9"/>
    <w:rsid w:val="0056684A"/>
    <w:rsid w:val="0058262F"/>
    <w:rsid w:val="005973D0"/>
    <w:rsid w:val="005B276C"/>
    <w:rsid w:val="005D178B"/>
    <w:rsid w:val="005D7EFE"/>
    <w:rsid w:val="005F695D"/>
    <w:rsid w:val="00606768"/>
    <w:rsid w:val="00626D1A"/>
    <w:rsid w:val="006364FE"/>
    <w:rsid w:val="00642955"/>
    <w:rsid w:val="006642EB"/>
    <w:rsid w:val="00680D54"/>
    <w:rsid w:val="006A08DF"/>
    <w:rsid w:val="006D38A3"/>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5134A"/>
    <w:rsid w:val="008742ED"/>
    <w:rsid w:val="00890B6A"/>
    <w:rsid w:val="00894C29"/>
    <w:rsid w:val="00895CE6"/>
    <w:rsid w:val="008A0D51"/>
    <w:rsid w:val="008C2542"/>
    <w:rsid w:val="008D52DD"/>
    <w:rsid w:val="008F3762"/>
    <w:rsid w:val="008F5679"/>
    <w:rsid w:val="008F7753"/>
    <w:rsid w:val="00912594"/>
    <w:rsid w:val="00936EB3"/>
    <w:rsid w:val="00942455"/>
    <w:rsid w:val="00956BCA"/>
    <w:rsid w:val="009826AD"/>
    <w:rsid w:val="0098641F"/>
    <w:rsid w:val="00991C57"/>
    <w:rsid w:val="009A0B09"/>
    <w:rsid w:val="009C60C3"/>
    <w:rsid w:val="009D5663"/>
    <w:rsid w:val="009D78B6"/>
    <w:rsid w:val="009E451C"/>
    <w:rsid w:val="009F162C"/>
    <w:rsid w:val="009F20AE"/>
    <w:rsid w:val="009F2DF9"/>
    <w:rsid w:val="009F4E8A"/>
    <w:rsid w:val="009F6A25"/>
    <w:rsid w:val="009F6C0D"/>
    <w:rsid w:val="00A10097"/>
    <w:rsid w:val="00A26C2B"/>
    <w:rsid w:val="00A358D1"/>
    <w:rsid w:val="00A528D0"/>
    <w:rsid w:val="00A5384C"/>
    <w:rsid w:val="00A72622"/>
    <w:rsid w:val="00A844EB"/>
    <w:rsid w:val="00A84A28"/>
    <w:rsid w:val="00AD10F1"/>
    <w:rsid w:val="00AF081F"/>
    <w:rsid w:val="00B351E3"/>
    <w:rsid w:val="00B409D6"/>
    <w:rsid w:val="00B442C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B1300"/>
    <w:rsid w:val="00DD7538"/>
    <w:rsid w:val="00DE1A75"/>
    <w:rsid w:val="00DE3261"/>
    <w:rsid w:val="00DE55A3"/>
    <w:rsid w:val="00DE58CD"/>
    <w:rsid w:val="00DE6E0E"/>
    <w:rsid w:val="00E01228"/>
    <w:rsid w:val="00E06C1A"/>
    <w:rsid w:val="00E07595"/>
    <w:rsid w:val="00E13100"/>
    <w:rsid w:val="00E2372B"/>
    <w:rsid w:val="00E23BA9"/>
    <w:rsid w:val="00E3063E"/>
    <w:rsid w:val="00E53B87"/>
    <w:rsid w:val="00E610A9"/>
    <w:rsid w:val="00E95176"/>
    <w:rsid w:val="00E96342"/>
    <w:rsid w:val="00E97F0B"/>
    <w:rsid w:val="00EA47E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7101E"/>
    <w:rsid w:val="00F87AE4"/>
    <w:rsid w:val="00FA453C"/>
    <w:rsid w:val="00FC65B2"/>
    <w:rsid w:val="00FD096E"/>
    <w:rsid w:val="00FD1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21</cp:revision>
  <cp:lastPrinted>2018-11-09T00:36:00Z</cp:lastPrinted>
  <dcterms:created xsi:type="dcterms:W3CDTF">2018-11-19T22:46:00Z</dcterms:created>
  <dcterms:modified xsi:type="dcterms:W3CDTF">2018-12-16T18:16:00Z</dcterms:modified>
</cp:coreProperties>
</file>